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529</w:t>
      </w:r>
    </w:p>
    <w:p>
      <w:r>
        <w:t>Bundesgericht (BGE), 2008-06-13, DE</w:t>
      </w:r>
    </w:p>
    <w:p>
      <w:r>
        <w:rPr>
          <w:b/>
        </w:rPr>
        <w:t xml:space="preserve">Quelle: </w:t>
      </w:r>
      <w:r>
        <w:t>https://mcp.opencaselaw.ch/entscheid/bge_134 III 529</w:t>
      </w:r>
    </w:p>
    <w:p>
      <w:r>
        <w:t>FR: ATF 134 III 529</w:t>
      </w:r>
    </w:p>
    <w:p>
      <w:r>
        <w:t>IT: DTF 134 III 529</w:t>
      </w:r>
    </w:p>
    <w:p>
      <w:pPr>
        <w:pStyle w:val="Heading2"/>
      </w:pPr>
      <w:r>
        <w:t>Regeste</w:t>
      </w:r>
    </w:p>
    <w:p>
      <w:r>
        <w:t>Regeste Unerlaubte Handlung (Art. 41 Abs. 1 OR); Art. 3-10 GwG als Schutznormen? Die Bestimmungen des Geldwäschereigesetzes (GwG) bezwecken nicht den Schutz individueller Vermögensinteressen. Die für einen ausservertraglichen Haftpflichtanspruch nach Art. 41 Abs. 1 OR erforderliche Widerrechtlichkeit lässt sich nicht unmittelbar aus dem Verstoss gegen eine Sorgfalts- oder Verhaltenspflicht des GwG ableiten (E. 4).</w:t>
      </w:r>
    </w:p>
    <w:p>
      <w:pPr>
        <w:pStyle w:val="Heading2"/>
      </w:pPr>
      <w:r>
        <w:t>Erwägungen</w:t>
      </w:r>
    </w:p>
    <w:p>
      <w:r>
        <w:rPr>
          <w:b/>
        </w:rPr>
        <w:t>E. 4</w:t>
      </w:r>
    </w:p>
    <w:p>
      <w:r>
        <w:t>Die Beschwerdeführerin wirft der Vorinstanz im Weiteren vor, verkannt zu haben, dass die Art. 3-10 des Bundesgesetzes vom 10. Oktober 1997 zur Bekämpfung der Geldwäscherei im Finanzsektor (Geldwäschereigesetz, GwG; SR 955.0) beiden in Art. 1 GwG genannten Zwecken dienten, vor allem aber der Sicherstellung der Sorgfalt bei Finanzgeschäften, und somit als Verhaltensnormen eigenständige BGE 134 III 529 S. 531 Schutznormen im Sinne von Art. 41 OR seien. Im Zusammenhang mit der Auslegung des GwG macht sie unter anderem eine Verletzung von Art. 1 ZGB geltend.</w:t>
      </w:r>
    </w:p>
    <w:p>
      <w:r>
        <w:rPr>
          <w:b/>
        </w:rPr>
        <w:t>E. 4.1</w:t>
      </w:r>
    </w:p>
    <w:p>
      <w:r>
        <w:t>Das Bundesgericht hatte bislang nicht zu entscheiden, ob die Bestimmungen des Geldwäschereigesetzes als Schutznormen in Frage kommen, deren Verletzung eine deliktische Haftung begründen kann. In der Literatur werden zur Frage, ob die Verletzung der Verhaltensnormen des Geldwäschereigesetzes den Schutz des Vermögens des Geschädigten gegenüber Schädigungen der konkret vorliegenden Art bezwecken, unterschiedliche Standpunkte vertreten. Während ein Teil der Lehre davon ausgeht, dass die Sorgfaltspflichten gemäss Geldwäschereigesetz als Schutznormen im Sinne von Art. 41 Abs. 1 OR herangezogen werden können (IVO SCHWANDER, Kommentar zu BGE 133 III 323 ff., in: AJP 2007 S. 1179 ff.; NICOLAS BÉGUIN/OLIVIER UNTERNAEHRER, Transit de fonds d'origine criminelle - responsabilité civile de la banque, in: AJP 2007 S. 1122), spricht sich die Mehrheit der Autoren gegen den Schutznormcharakter der Verhaltensnormen des Geldwäschereigesetzes aus (URSULA CASSANI, Le blanchiment d'argent, un crime sans victime?, in: Wirtschaft und Strafrecht, Festschrift für Niklaus Schmid, Zürich 2001, S. 406; PETER LEHMANN, Geldwäscherei als Schutznorm?, in: Schutz &amp; Verantwortung, Liber amicorum für Heinrich Honsell, Zürich/St. Gallen 2007, S. 26 f.; HENRI CORBOZ/PATRICK GÉRARD FLEURY, Le blanchiment d'argent, le renouveau de l'illicéité de comportement?, in: Haftung und Versicherung [HAVE] 3/2004 S. 224 f.; ROMEO CERUTTI, Rechtliche Aspekte der Vermögensverwaltung im Schweizer Universalbankensystem, in: ZSR 127/2008 I S. 94 f.; JÜRG-BEAT ACKERMANN, Geldwäschereinormen - taugliche Mittel für den privaten Geschädigten?, in: Schmid/Ackermann [Hrsg.], Wiedererlangung widerrechtlich entzogener Vermögenswerte mit Instrumenten des Straf-, Zivil-, Vollstreckungs- und internationalen Rechts, Zürich 1999, S. 53, der allerdings auch von einem fehlenden Schutznormcharakter von Art. 305 bis StGB ausgeht).</w:t>
      </w:r>
    </w:p>
    <w:p>
      <w:r>
        <w:rPr>
          <w:b/>
        </w:rPr>
        <w:t>E. 4.2</w:t>
      </w:r>
    </w:p>
    <w:p>
      <w:r>
        <w:t>Das Geldwäschereigesetz soll in Ergänzung zu strafrechtlichen Bestimmungen (vgl. Art. 70 ff., 305 bis , 305 ter StGB ) verhindern, dass Gelder verbrecherischen Ursprungs in den ordentlichen Geldkreislauf gelangen, und helfen, die für die Geldwäscherei verantwortlichen Personen zu ermitteln und strafrechtlich zu belangen (Botschaft zum Bundesgesetz zur Bekämpfung der Geldwäscherei im Finanzsektor vom 17. Juni 1996, BBl 1996 III 1102 und 1116). Es dient der BGE 134 III 529 S. 532 Bekämpfung der Geldwäscherei ( Art. 305 bis StGB ) im Finanzsektor und regelt in diesem Zusammenhang die dazu notwendige Sicherstellung der Sorgfalt bei Finanzgeschäften (vgl. Titel des Gesetzes und Art. 1 GwG ). Um die erwähnten Ziele zu erreichen, auferlegt das Geldwäschereigesetz denjenigen Personen, die es als Finanzintermediäre qualifiziert (dazu Art. 2 Abs. 2-4 GwG ), besondere Sorgfalts- und Verhaltenspflichten bei Finanzgeschäften. Sie müssen bei Aufnahme von Geschäftsbeziehungen unter anderem die Vertragspartei aufgrund von beweiskräftigen Dokumenten identifizieren ( Art. 3 und 5 GwG ) sowie anhand einer schriftlichen Erklärung der Vertragspartei die wirtschaftlich berechtigte Person feststellen (Art. 4 f. GwG). Weiter trifft den Finanzintermediär bei gewissen Transaktionen oder Geschäftsbeziehungen eine besondere Abklärungspflicht ( Art. 6 GwG ). Über getätigte Transaktionen muss er Belege so erstellen, dass fachkundige Dritte sich ein zuverlässiges Urteil über die Transaktionen und Geschäftsbeziehungen sowie über die Einhaltung der Bestimmungen des Geldwäschereigesetzes bilden können ( Art. 7 GwG ). Auch sind in organisatorischer Hinsicht Massnahmen (u.a. genügende Ausbildung des Personals sowie Kontrollen) zu treffen, die zur Verhinderung der Geldwäscherei notwendig sind ( Art. 9 GwG ). Bei Geldwäschereiverdacht muss der Finanzintermediär der Meldestelle für Geldwäscherei beim Bundesamt für Polizei zudem unverzüglich Meldung erstatten und die ihm anvertrauten Vermögenswerte sperren (Art. 9 f. GwG).</w:t>
      </w:r>
    </w:p>
    <w:p>
      <w:r>
        <w:rPr>
          <w:b/>
        </w:rPr>
        <w:t>E. 4.3</w:t>
      </w:r>
    </w:p>
    <w:p>
      <w:r>
        <w:t>Die Bestimmungen des Geldwäschereigesetzes sollen die Integrität des schweizerischen Finanzplatzes schützen und bezwecken nicht den Schutz individueller Vermögensinteressen (CASSANI, a.a.O., S. 406; LEHMANN, a.a.O., S. 27). Mit diesen aufsichts- und verfahrensrechtlichen Vorschriften wird für den gesamten Finanzmarkt ein Mindestmass an Sorgfalts- und Verhaltenspflichten festgelegt, um damit die Geldwäscherei im Finanzsektor zu bekämpfen. Dabei ist zu beachten, dass das Geldwäschereigesetz für Verstösse gegen die in Art. 3-8 GwG statuierten Sorgfaltspflichten auf Strafandrohungen verzichtet. Dies gilt selbst für die Verletzung der Verpflichtung des Finanzintermediärs zur automatischen, an die Meldung nach Art. 9 GwG geknüpften Vermögenssperre nach Art. 10 GwG , die die Rechte des durch die Vortat geschädigten Opfers am Ehesten berühren könnte (vgl. CASSANI, a.a.O., S. 406). BGE 134 III 529 S. 533 Solche Widerhandlungen werden nach der Konzeption des Geldwäschereigesetzes vielmehr durch den Strafrichter geahndet, falls ein strafrechtlicher Tatbestand erfüllt ist, wobei insbesondere an den Geldwäschereiartikel ( Art. 305 bis StGB ) und die mangelnde Sorgfalt bei Finanzgeschäften ( Art. 305 ter Abs. 1 StGB ) gedacht wurde (Botschaft, a.a.O., S. 1114). Lässt der Finanzintermediär trotz Verdachts auf eine verbrecherische Herkunft der ihm anvertrauten Vermögenswerte eine Überweisung oder einen Rückzug zu, macht er sich gegebenenfalls der eventualvorsätzlichen Geldwäscherei ( Art. 305 bis StGB ) schuldig (CASSANI, a.a.O., S. 406; THELESKLAF/WYSS/ZOLLINGER, Geldwäschereigesetz, Zürich 2003, N. 9 zu Art. 10 GwG ). Das Geldwäschereigesetz erweitert den sich aus Art. 305 bis StGB ergebenden Schutz der Individualinteressen des Opfers der strafbaren Vortat nicht (CASSANI, a.a.O., S. 406). Es handelt sich bei den Bestimmungen des GwG nicht um Verhaltensnormen, die unmittelbar dem Schutz vor entsprechenden Schädigungen dienen. Demnach lassen sich die Bestimmungen des GwG nicht als Schutznormen zur Begründung einer ausservertraglichen Haftung nach Art. 41 OR heranziehen.</w:t>
      </w:r>
    </w:p>
    <w:p>
      <w:r>
        <w:rPr>
          <w:b/>
        </w:rPr>
        <w:t>E. 4.4</w:t>
      </w:r>
    </w:p>
    <w:p>
      <w:r>
        <w:t>Zusammenfassend ergibt sich, dass die Bestimmungen des Geldwäschereigesetzes den Schutz der individuellen Vermögensinteressen des Opfers der Vortat, wie er sich aus Art. 305 bis StGB ergibt, nicht erweitern. Entsprechend lässt sich die für einen ausservertraglichen Haftpflichtanspruch nach Art. 41 Abs. 1 OR erforderliche Widerrechtlichkeit nicht unmittelbar aus dem Verstoss gegen eine Sorgfalts- oder Verhaltenspflicht nach GwG ableiten. Handelt der Finanzintermediär hingegen vorsätzlich bzw. eventualvorsätzlich im Sinne des Straftatbestands von Art. 305 bis StGB , ist von einer unerlaubten Handlung auszugehen, und der Finanzintermediär wird für den schuldhaft zugefügten Schaden ersatzpflichtig.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